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15f0a968b68e7e1e4ede8adab9675e3c7e9cb"/>
    <w:p>
      <w:pPr>
        <w:pStyle w:val="Heading3"/>
      </w:pPr>
      <w:r>
        <w:t xml:space="preserve">Наружная реклама появится на дорогах в ТиНАО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rPr>
          <w:bCs/>
          <w:b/>
        </w:rPr>
        <w:t xml:space="preserve">Департамент СМИ и рекламы г. Москвы объявил открытый аукцион на право установки и эксплуатации рекламных конструкций на территории ТиНАО.</w:t>
      </w:r>
    </w:p>
    <w:p>
      <w:pPr>
        <w:pStyle w:val="BodyText"/>
      </w:pPr>
    </w:p>
    <w:p>
      <w:pPr>
        <w:pStyle w:val="BodyText"/>
      </w:pPr>
      <w:r>
        <w:t xml:space="preserve">Рекламные места разыгрываются тремя лотами — каждый лот предусматривает установку около 100 конструкций большого (щиты 6 x3) и сверхбольшого (щиты 15 x3 или 12 x4) формата. С победителями торгов будут заключены 10-летние договоры, ежегодные платежи в московский бюджет от реализации договоров составят порядка 300 млн. руб.</w:t>
      </w:r>
    </w:p>
    <w:p>
      <w:pPr>
        <w:pStyle w:val="BodyText"/>
      </w:pPr>
      <w:r>
        <w:t xml:space="preserve">Рекламные щиты расположатся на вылетных магистралях — Киевском, Калужском и Боровском шоссе, а также на примыкающих дорогах. По сравнению с прошлыми годами конструкций станет меньше в 2,5 раза — это результат не только пересмотра схемы, но и констатации качественных изменений самих рекламных носителей, которые становятся яркими, динамичными и более адресными по контенту за счёт новых технологий. Территориальное размещение рекламоносителей также должно учитывать требования ГОСТа о наружной рекламе, которые ранее были актуализированы в части обеспечения безопасности на дорогах.</w:t>
      </w:r>
    </w:p>
    <w:p>
      <w:pPr>
        <w:pStyle w:val="BodyText"/>
      </w:pPr>
      <w:r>
        <w:t xml:space="preserve">Цена лотов сформирована с учётом торгов, проведённых в 2014 г. в Красногорском и Одинцовском муниципальных районах Московской области. Формула расчета также включает территориальный коэффициент — стоимость рекламного места тем ниже, чем дальше от МКАД и основных магистралей.</w:t>
      </w:r>
    </w:p>
    <w:p>
      <w:pPr>
        <w:pStyle w:val="BodyText"/>
      </w:pPr>
      <w:r>
        <w:t xml:space="preserve">Претенденты смогут подать заявки на участие в торгах в течение 30 дней, после чего будет проведён молоточный аукцион с повышением цены. Обеспечительный платёж за участие в торгах составляет 15% от цены десятилетнего лота. При заключении договора победитель также обязуется внести авансовый платеж за последний год действия договора.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http://mosgorpechat.mos.ru/presscenter/news-of-the-department-for-media-and-advertising-of-moscow/detail/7718397.html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18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18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2025-02-13T22:43:19Z</dcterms:created>
  <dcterms:modified xsi:type="dcterms:W3CDTF">2025-02-13T22:43:19Z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