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bd875cb63298e006bb3e332e38b1424f7a6275"/>
    <w:p>
      <w:pPr>
        <w:pStyle w:val="Heading3"/>
      </w:pPr>
      <w:r>
        <w:t xml:space="preserve">Внесены изменения в конкурс № 107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24.12.2021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24.12.2021 Казенным предприятием города Москвы «Мосгорпечать», подведомственным Департаменту средств массовой информации и рекламы города Москвы, внесены изменения в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 № 107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(оказания услуг)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Дата вскрытия конвертов не изменилась (17.01.2022).</w:t>
            </w:r>
          </w:p>
          <w:p>
            <w:pPr>
              <w:jc w:val="left"/>
            </w:pPr>
            <w:r>
      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http://mosgorpechat.mos.ru/presscenter/news/detail/10504269.html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504269.html" TargetMode="External" /><Relationship Type="http://schemas.openxmlformats.org/officeDocument/2006/relationships/hyperlink" Id="rId23" Target="https://mosgorpechat.mos.ru/competitions-and-tenders/contests/detail/10479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504269.html" TargetMode="External" /><Relationship Type="http://schemas.openxmlformats.org/officeDocument/2006/relationships/hyperlink" Id="rId23" Target="https://mosgorpechat.mos.ru/competitions-and-tenders/contests/detail/10479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2023-08-01T18:14:05Z</dcterms:created>
  <dcterms:modified xsi:type="dcterms:W3CDTF">2023-08-01T18:14:05Z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