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6c55c1d38cf385c1dad9009f32656e82a9e60"/>
    <w:p>
      <w:pPr>
        <w:pStyle w:val="Heading3"/>
      </w:pPr>
      <w:r>
        <w:t xml:space="preserve">Внесены изменения в конкурс № 108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12.01.2022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12.01.2022 Казенным предприятием города Москвы «Мосгорпечать», подведомственным Департаменту средств массовой информации и рекламы города Москвы, внесены изменения в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 № 108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Дата вскрытия конвертов перенесена на 02.02.2022.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http://mosgorpechat.mos.ru/presscenter/news/detail/10536277.html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36277.html" TargetMode="External" /><Relationship Type="http://schemas.openxmlformats.org/officeDocument/2006/relationships/hyperlink" Id="rId23" Target="https://mosgorpechat.mos.ru/competitions-and-tenders/contests/detail/10504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36277.html" TargetMode="External" /><Relationship Type="http://schemas.openxmlformats.org/officeDocument/2006/relationships/hyperlink" Id="rId23" Target="https://mosgorpechat.mos.ru/competitions-and-tenders/contests/detail/10504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2024-08-12T23:04:36Z</dcterms:created>
  <dcterms:modified xsi:type="dcterms:W3CDTF">2024-08-12T23:04:36Z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