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199b6a61f5d8ea30891f80c7b8e43d34650be"/>
    <w:p>
      <w:pPr>
        <w:pStyle w:val="Heading3"/>
      </w:pPr>
      <w:r>
        <w:t xml:space="preserve">Подведены итоги Конкурса № 113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30.06.2022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30.06.2022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113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26 лотов, сформированные из 43 мест размещения Киосков (от 1 до 5 мест в лоте). Всего было подано 6 заявок от 3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5 НТО со специализацией «Печать» вида «Киоск» получили 3 оператора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http://mosgorpechat.mos.ru/presscenter/news/detail/10906283.html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06283.html" TargetMode="External" /><Relationship Type="http://schemas.openxmlformats.org/officeDocument/2006/relationships/hyperlink" Id="rId23" Target="https://mosgorpechat.mos.ru/competitions-and-tenders/contests/detail/10854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906283.html" TargetMode="External" /><Relationship Type="http://schemas.openxmlformats.org/officeDocument/2006/relationships/hyperlink" Id="rId23" Target="https://mosgorpechat.mos.ru/competitions-and-tenders/contests/detail/10854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2023-12-12T12:50:14Z</dcterms:created>
  <dcterms:modified xsi:type="dcterms:W3CDTF">2023-12-12T12:50:14Z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