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a96b0290d89df7421c8471de4f974c9d47787"/>
    <w:p>
      <w:pPr>
        <w:pStyle w:val="Heading3"/>
      </w:pPr>
      <w:r>
        <w:t xml:space="preserve">Объявлен Конкурс № 124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28.04.2023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</w:rPr>
          <w:t xml:space="preserve">Конкурса № 124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115 лотов, сформированные из 125 мест размещения Киосков.</w:t>
      </w:r>
    </w:p>
    <w:p>
      <w:pPr>
        <w:pStyle w:val="BodyText"/>
      </w:pPr>
      <w:r>
        <w:t xml:space="preserve">Дата вскрытия конвертов - 29.05.2023.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http://mosgorpechat.mos.ru/presscenter/news/detail/11566791.html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66791.html" TargetMode="External" /><Relationship Type="http://schemas.openxmlformats.org/officeDocument/2006/relationships/hyperlink" Id="rId23" Target="https://mosgorpechat.mos.ru/competitions-and-tenders/contests/detail/11560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66791.html" TargetMode="External" /><Relationship Type="http://schemas.openxmlformats.org/officeDocument/2006/relationships/hyperlink" Id="rId23" Target="https://mosgorpechat.mos.ru/competitions-and-tenders/contests/detail/11560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2024-08-19T20:04:59Z</dcterms:created>
  <dcterms:modified xsi:type="dcterms:W3CDTF">2024-08-19T20:04:59Z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