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3bd2c1631c5c77c7702e68ca853e3f16ec3fa"/>
    <w:p>
      <w:pPr>
        <w:pStyle w:val="Heading3"/>
      </w:pPr>
      <w:r>
        <w:t xml:space="preserve">Подведены итоги Конкурса № 129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12.10.2023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129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26 лотов, сформированные из 35 мест размещения Киосков (от 1 до 3 мест в лоте). Всего было подано 2 заявки от 2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4 НТО со специализацией «Печать» вида «Киоск» получили 2 оператора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http://mosgorpechat.mos.ru/presscenter/news/detail/11910909.html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910909.html" TargetMode="External" /><Relationship Type="http://schemas.openxmlformats.org/officeDocument/2006/relationships/hyperlink" Id="rId23" Target="https://mosgorpechat.mos.ru/competitions-and-tenders/contests/detail/1182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910909.html" TargetMode="External" /><Relationship Type="http://schemas.openxmlformats.org/officeDocument/2006/relationships/hyperlink" Id="rId23" Target="https://mosgorpechat.mos.ru/competitions-and-tenders/contests/detail/1182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2025-06-18T05:32:40Z</dcterms:created>
  <dcterms:modified xsi:type="dcterms:W3CDTF">2025-06-18T05:32:40Z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